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97" w:lineRule="auto" w:before="149"/>
        <w:ind w:left="720"/>
      </w:pPr>
      <w:r>
        <w:t>Wind101A是一个完整的系统，可以精确测量和记录风速。</w:t>
      </w:r>
      <w:r>
        <w:rPr>
          <w:spacing w:val="-9"/>
        </w:rPr>
        <w:t>这种</w:t>
      </w:r>
      <w:r>
        <w:t>低成本的风速记录系统配备了一个数据记录器，防</w:t>
        <w:softHyphen/>
        <w:t>风雨外壳，三杯风速计和所有必要的电缆，以快速</w:t>
      </w:r>
      <w:r>
        <w:rPr>
          <w:spacing w:val="-2"/>
        </w:rPr>
        <w:t>启动和运行。该记录仪可以记录超过1，000，000个读数，存储介质</w:t>
      </w:r>
      <w:r>
        <w:t>是</w:t>
      </w:r>
      <w:r>
        <w:t>非易失性</w:t>
      </w:r>
      <w:r>
        <w:t>固态</w:t>
      </w:r>
      <w:r>
        <w:t>存储器，</w:t>
      </w:r>
      <w:r>
        <w:t>即使</w:t>
      </w:r>
      <w:r>
        <w:t>电池放电也能提供最大的数据安全性。使用MadgeTech软件可以直接从计算机启动和停止设备。</w:t>
      </w:r>
    </w:p>
    <w:p>
      <w:pPr>
        <w:pStyle w:val="Heading1"/>
        <w:spacing w:before="136"/>
        <w:ind w:left="349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110" w:after="0"/>
        <w:ind w:left="528" w:right="0" w:hanging="179"/>
        <w:jc w:val="left"/>
        <w:rPr>
          <w:sz w:val="20"/>
        </w:rPr>
      </w:pPr>
      <w:r>
        <w:rPr>
          <w:spacing w:val="-2"/>
        </w:rPr>
        <w:t>用于伐木机的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t>3杯</w:t>
      </w:r>
      <w:r>
        <w:rPr>
          <w:spacing w:val="-2"/>
        </w:rPr>
        <w:t>风速计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rPr>
          <w:spacing w:val="-4"/>
        </w:rPr>
        <w:t xml:space="preserve">0至100 MPH（0至160 KPH）范围</w:t>
      </w:r>
    </w:p>
    <w:p>
      <w:pPr>
        <w:pStyle w:val="P68B1DB1-ListParagraph2"/>
        <w:numPr>
          <w:ilvl w:val="0"/>
          <w:numId w:val="1"/>
        </w:numPr>
        <w:tabs>
          <w:tab w:pos="529" w:val="left" w:leader="none"/>
        </w:tabs>
        <w:spacing w:line="276" w:lineRule="auto" w:before="36" w:after="0"/>
        <w:ind w:left="529" w:right="928" w:hanging="180"/>
        <w:jc w:val="left"/>
        <w:rPr>
          <w:sz w:val="20"/>
        </w:rPr>
      </w:pPr>
      <w:r>
        <w:rPr>
          <w:spacing w:val="-2"/>
        </w:rPr>
        <w:t>0.085</w:t>
      </w:r>
      <w:r>
        <w:rPr>
          <w:spacing w:val="-2"/>
        </w:rPr>
        <w:t>MPH</w:t>
      </w:r>
      <w:r>
        <w:rPr>
          <w:spacing w:val="-2"/>
        </w:rPr>
        <w:t>分辨率</w:t>
      </w:r>
      <w:r>
        <w:rPr>
          <w:spacing w:val="-2"/>
        </w:rPr>
        <w:t>（</w:t>
      </w:r>
      <w:r>
        <w:rPr>
          <w:spacing w:val="-2"/>
        </w:rPr>
        <w:t>10</w:t>
      </w:r>
      <w:r>
        <w:rPr>
          <w:spacing w:val="-2"/>
        </w:rPr>
        <w:t>秒</w:t>
      </w:r>
      <w:r>
        <w:t>采样率）</w:t>
      </w:r>
    </w:p>
    <w:p>
      <w:pPr>
        <w:pStyle w:val="P68B1DB1-ListParagraph2"/>
        <w:numPr>
          <w:ilvl w:val="0"/>
          <w:numId w:val="1"/>
        </w:numPr>
        <w:tabs>
          <w:tab w:pos="529" w:val="left" w:leader="none"/>
        </w:tabs>
        <w:spacing w:line="276" w:lineRule="auto" w:before="0" w:after="0"/>
        <w:ind w:left="529" w:right="936" w:hanging="180"/>
        <w:jc w:val="left"/>
        <w:rPr>
          <w:sz w:val="20"/>
        </w:rPr>
      </w:pPr>
      <w:r>
        <w:rPr>
          <w:spacing w:val="-2"/>
        </w:rPr>
        <w:t>在</w:t>
      </w:r>
      <w:r>
        <w:rPr>
          <w:spacing w:val="-2"/>
        </w:rPr>
        <w:t>10</w:t>
      </w:r>
      <w:r>
        <w:rPr>
          <w:spacing w:val="-2"/>
        </w:rPr>
        <w:t>至</w:t>
      </w:r>
      <w:r>
        <w:t xml:space="preserve">100 MPH（16至160 KPH）范围内</w:t>
      </w:r>
      <w:r>
        <w:rPr>
          <w:spacing w:val="-2"/>
        </w:rPr>
        <w:t>，校准</w:t>
      </w:r>
      <w:r>
        <w:rPr>
          <w:spacing w:val="-2"/>
        </w:rPr>
        <w:t>精度为</w:t>
      </w:r>
      <w:r>
        <w:rPr>
          <w:spacing w:val="-2"/>
        </w:rPr>
        <w:t>±2.5%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3" w:lineRule="exact" w:before="0" w:after="0"/>
        <w:ind w:left="528" w:right="0" w:hanging="179"/>
        <w:jc w:val="left"/>
        <w:rPr>
          <w:sz w:val="20"/>
        </w:rPr>
      </w:pPr>
      <w:r>
        <w:t>1秒读取</w:t>
      </w:r>
      <w:r>
        <w:rPr>
          <w:spacing w:val="-4"/>
        </w:rPr>
        <w:t>速率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4" w:after="0"/>
        <w:ind w:left="528" w:right="0" w:hanging="179"/>
        <w:jc w:val="left"/>
        <w:rPr>
          <w:sz w:val="20"/>
        </w:rPr>
      </w:pPr>
      <w:r>
        <w:rPr>
          <w:spacing w:val="-4"/>
        </w:rPr>
        <w:t>多重启动/停止功能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rPr>
          <w:spacing w:val="-4"/>
        </w:rPr>
        <w:t>1，047，552读取存储容量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2"/>
        <w:numPr>
          <w:ilvl w:val="0"/>
          <w:numId w:val="1"/>
        </w:numPr>
        <w:tabs>
          <w:tab w:pos="528" w:val="left" w:leader="none"/>
        </w:tabs>
        <w:spacing w:line="240" w:lineRule="auto" w:before="36" w:after="0"/>
        <w:ind w:left="528" w:right="0" w:hanging="179"/>
        <w:jc w:val="left"/>
        <w:rPr>
          <w:sz w:val="20"/>
        </w:rPr>
      </w:pPr>
      <w:r>
        <w:rPr>
          <w:spacing w:val="-2"/>
        </w:rPr>
        <w:t>可选密码保护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71" w:space="40"/>
            <w:col w:w="4429"/>
          </w:cols>
        </w:sectPr>
      </w:pPr>
    </w:p>
    <w:p>
      <w:pPr>
        <w:pStyle w:val="P68B1DB1-BodyText3"/>
        <w:tabs>
          <w:tab w:pos="7799" w:val="left" w:leader="none"/>
          <w:tab w:pos="8159" w:val="left" w:leader="none"/>
        </w:tabs>
        <w:spacing w:before="35"/>
        <w:ind w:left="720"/>
      </w:pPr>
      <w:r>
        <w:rPr>
          <w:u w:val="single" w:color="5C81AE"/>
        </w:rPr>
        <w:tab/>
      </w:r>
      <w:r>
        <w:tab/>
      </w:r>
      <w:r>
        <w:rPr>
          <w:w w:val="95"/>
        </w:rPr>
        <w:t>·</w:t>
      </w:r>
      <w:r>
        <w:t>现场</w:t>
      </w:r>
      <w:r>
        <w:rPr>
          <w:spacing w:val="-2"/>
        </w:rPr>
        <w:t>可升级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90"/>
        <w:ind w:left="705" w:right="0" w:firstLine="0"/>
        <w:jc w:val="left"/>
        <w:rPr>
          <w:rFonts w:ascii="Tahoma"/>
          <w:sz w:val="28"/>
        </w:rPr>
        <w:pStyle w:val="P68B1DB1-Normal4"/>
      </w:pPr>
      <w:r>
        <w:rPr>
          <w:spacing w:val="-4"/>
        </w:rPr>
        <w:t xml:space="preserve">MadgeTech 4软件功能</w:t>
      </w:r>
    </w:p>
    <w:p>
      <w:pPr>
        <w:spacing w:line="240" w:lineRule="auto" w:before="0"/>
        <w:rPr>
          <w:rFonts w:ascii="Tahoma"/>
          <w:sz w:val="19"/>
        </w:rPr>
      </w:pPr>
      <w:r>
        <w:br w:type="column"/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34"/>
        <w:rPr>
          <w:rFonts w:ascii="Tahoma"/>
          <w:sz w:val="19"/>
        </w:rPr>
      </w:pPr>
    </w:p>
    <w:p>
      <w:pPr>
        <w:spacing w:before="0"/>
        <w:ind w:left="705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-751032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347857</wp:posOffset>
                </wp:positionV>
                <wp:extent cx="71120" cy="133350"/>
                <wp:effectExtent l="0" t="0" r="0" b="0"/>
                <wp:wrapNone/>
                <wp:docPr id="4" name="文本框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文本框4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5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Heading1"/>
        <w:spacing w:before="269"/>
      </w:pPr>
      <w:r>
        <w:br w:type="column"/>
      </w:r>
      <w:r>
        <w:rPr>
          <w:color w:val="002A5C"/>
          <w:spacing w:val="-2"/>
          <w:w w:val="110"/>
        </w:rPr>
        <w:t>好处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240" w:lineRule="auto" w:before="110" w:after="0"/>
        <w:ind w:left="786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4086694</wp:posOffset>
                </wp:positionH>
                <wp:positionV relativeFrom="paragraph">
                  <wp:posOffset>63231</wp:posOffset>
                </wp:positionV>
                <wp:extent cx="866775" cy="732155"/>
                <wp:effectExtent l="0" t="0" r="0" b="0"/>
                <wp:wrapNone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z w:val="20"/>
        </w:rPr>
        <w:t>简单的设置和</w:t>
      </w:r>
      <w:r>
        <w:rPr>
          <w:color w:val="414042"/>
          <w:spacing w:val="-2"/>
          <w:sz w:val="20"/>
        </w:rPr>
        <w:t>安装</w:t>
      </w:r>
    </w:p>
    <w:p>
      <w:pPr>
        <w:pStyle w:val="P68B1DB1-ListParagraph2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2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4"/>
      </w:pPr>
    </w:p>
    <w:p>
      <w:pPr>
        <w:pStyle w:val="P68B1DB1-Heading16"/>
      </w:pPr>
      <w:r>
        <w:t>应用</w:t>
      </w:r>
    </w:p>
    <w:p>
      <w:pPr>
        <w:pStyle w:val="ListParagraph"/>
        <w:numPr>
          <w:ilvl w:val="1"/>
          <w:numId w:val="1"/>
        </w:numPr>
        <w:tabs>
          <w:tab w:pos="786" w:val="left" w:leader="none"/>
        </w:tabs>
        <w:spacing w:line="240" w:lineRule="auto" w:before="110" w:after="0"/>
        <w:ind w:left="786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62554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图11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图像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图17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图23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图像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图34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4"/>
          <w:sz w:val="20"/>
        </w:rPr>
        <w:t>替代</w:t>
      </w:r>
      <w:r>
        <w:rPr>
          <w:color w:val="414042"/>
          <w:spacing w:val="-4"/>
          <w:sz w:val="20"/>
        </w:rPr>
        <w:t>能源</w:t>
      </w:r>
      <w:r>
        <w:rPr>
          <w:color w:val="414042"/>
          <w:spacing w:val="-4"/>
          <w:sz w:val="20"/>
        </w:rPr>
        <w:t>研究</w:t>
      </w:r>
    </w:p>
    <w:p>
      <w:pPr>
        <w:pStyle w:val="P68B1DB1-ListParagraph7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t>气象学/气候学</w:t>
      </w:r>
    </w:p>
    <w:p>
      <w:pPr>
        <w:pStyle w:val="P68B1DB1-ListParagraph2"/>
        <w:numPr>
          <w:ilvl w:val="1"/>
          <w:numId w:val="1"/>
        </w:numPr>
        <w:tabs>
          <w:tab w:pos="786" w:val="left" w:leader="none"/>
        </w:tabs>
        <w:spacing w:line="240" w:lineRule="auto" w:before="36" w:after="0"/>
        <w:ind w:left="786" w:right="0" w:hanging="179"/>
        <w:jc w:val="left"/>
        <w:rPr>
          <w:sz w:val="20"/>
        </w:rPr>
      </w:pPr>
      <w:r>
        <w:rPr>
          <w:spacing w:val="-2"/>
        </w:rPr>
        <w:t>风力涡轮机位置评估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373"/>
            <w:col w:w="1495" w:space="39"/>
            <w:col w:w="4688"/>
          </w:cols>
        </w:sectPr>
      </w:pPr>
    </w:p>
    <w:p>
      <w:pPr>
        <w:pStyle w:val="BodyText"/>
        <w:spacing w:before="136"/>
        <w:rPr>
          <w:sz w:val="19"/>
        </w:rPr>
      </w:pPr>
    </w:p>
    <w:p>
      <w:pPr>
        <w:spacing w:before="0"/>
        <w:ind w:left="199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203083</wp:posOffset>
                </wp:positionV>
                <wp:extent cx="866775" cy="73215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41"/>
        <w:rPr>
          <w:rFonts w:ascii="Tahoma"/>
        </w:rPr>
      </w:pPr>
    </w:p>
    <w:p>
      <w:pPr>
        <w:pStyle w:val="P68B1DB1-ListParagraph2"/>
        <w:numPr>
          <w:ilvl w:val="2"/>
          <w:numId w:val="1"/>
        </w:numPr>
        <w:tabs>
          <w:tab w:pos="899" w:val="left" w:leader="none"/>
        </w:tabs>
        <w:spacing w:line="242" w:lineRule="exact" w:before="0" w:after="0"/>
        <w:ind w:left="8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7"/>
        <w:numPr>
          <w:ilvl w:val="2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2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2"/>
          <w:numId w:val="1"/>
        </w:numPr>
        <w:tabs>
          <w:tab w:pos="899" w:val="left" w:leader="none"/>
        </w:tabs>
        <w:spacing w:line="239" w:lineRule="exact" w:before="0" w:after="0"/>
        <w:ind w:left="8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233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2"/>
        <w:numPr>
          <w:ilvl w:val="3"/>
          <w:numId w:val="1"/>
        </w:numPr>
        <w:tabs>
          <w:tab w:pos="1199" w:val="left" w:leader="none"/>
        </w:tabs>
        <w:spacing w:line="242" w:lineRule="exact" w:before="0" w:after="0"/>
        <w:ind w:left="1199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2"/>
        <w:numPr>
          <w:ilvl w:val="3"/>
          <w:numId w:val="1"/>
        </w:numPr>
        <w:tabs>
          <w:tab w:pos="1199" w:val="left" w:leader="none"/>
        </w:tabs>
        <w:spacing w:line="240" w:lineRule="exact" w:before="0" w:after="0"/>
        <w:ind w:left="1199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2"/>
        <w:numPr>
          <w:ilvl w:val="3"/>
          <w:numId w:val="1"/>
        </w:numPr>
        <w:tabs>
          <w:tab w:pos="1199" w:val="left" w:leader="none"/>
        </w:tabs>
        <w:spacing w:line="240" w:lineRule="exact" w:before="0" w:after="0"/>
        <w:ind w:left="1199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2"/>
        <w:numPr>
          <w:ilvl w:val="3"/>
          <w:numId w:val="1"/>
        </w:numPr>
        <w:tabs>
          <w:tab w:pos="1199" w:val="left" w:leader="none"/>
        </w:tabs>
        <w:spacing w:line="239" w:lineRule="exact" w:before="0" w:after="0"/>
        <w:ind w:left="1199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262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202976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2" w:space="40"/>
            <w:col w:w="3316" w:space="39"/>
            <w:col w:w="6153"/>
          </w:cols>
        </w:sectPr>
      </w:pPr>
    </w:p>
    <w:p>
      <w:pPr>
        <w:pStyle w:val="ListParagraph"/>
        <w:numPr>
          <w:ilvl w:val="2"/>
          <w:numId w:val="1"/>
        </w:numPr>
        <w:tabs>
          <w:tab w:pos="899" w:val="left" w:leader="none"/>
        </w:tabs>
        <w:spacing w:line="243" w:lineRule="exact" w:before="0" w:after="0"/>
        <w:ind w:left="8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462254"/>
                            <a:ext cx="2679977" cy="1651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文本框70"/>
                        <wps:cNvSpPr txBox="1"/>
                        <wps:spPr>
                          <a:xfrm>
                            <a:off x="0" y="0"/>
                            <a:ext cx="7772400" cy="257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6" w:lineRule="exact" w:before="0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8"/>
                              </w:pPr>
                              <w:r>
                                <w:t>Wind101A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9"/>
                              </w:pPr>
                              <w:r>
                                <w:rPr>
                                  <w:spacing w:val="-2"/>
                                </w:rPr>
                                <w:t>风速数据记录仪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1"/>
          <w:numId w:val="1"/>
        </w:numPr>
        <w:tabs>
          <w:tab w:pos="783" w:val="left" w:leader="none"/>
        </w:tabs>
        <w:spacing w:line="243" w:lineRule="exact" w:before="0" w:after="0"/>
        <w:ind w:left="783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1"/>
        <w:rPr>
          <w:sz w:val="1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4" w:space="735"/>
            <w:col w:w="6333"/>
          </w:cols>
        </w:sect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-626922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1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1"/>
                              </w:pPr>
                              <w:r>
                                <w:t>Wind101A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before="53"/>
        <w:ind w:left="7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420484</wp:posOffset>
                </wp:positionH>
                <wp:positionV relativeFrom="paragraph">
                  <wp:posOffset>1611995</wp:posOffset>
                </wp:positionV>
                <wp:extent cx="3427729" cy="3024504"/>
                <wp:effectExtent l="0" t="0" r="0" b="0"/>
                <wp:wrapNone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427729" cy="3024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B6C1D8"/>
                                <w:left w:val="single" w:sz="2" w:space="0" w:color="B6C1D8"/>
                                <w:bottom w:val="single" w:sz="2" w:space="0" w:color="B6C1D8"/>
                                <w:right w:val="single" w:sz="2" w:space="0" w:color="B6C1D8"/>
                                <w:insideH w:val="single" w:sz="2" w:space="0" w:color="B6C1D8"/>
                                <w:insideV w:val="single" w:sz="2" w:space="0" w:color="B6C1D8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C81AE"/>
                                </w:tcPr>
                                <w:p>
                                  <w:pPr>
                                    <w:pStyle w:val="P68B1DB1-TableParagraph12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3"/>
                                    <w:spacing w:before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line="244" w:lineRule="auto" w:before="5"/>
                                    <w:ind w:right="1635"/>
                                    <w:rPr>
                                      <w:sz w:val="16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635"/>
                                    <w:rPr>
                                      <w:sz w:val="16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32"/>
                                    <w:rPr>
                                      <w:sz w:val="16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right="7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 w:before="151"/>
                                    <w:ind w:right="6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32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，以限制对配置选项的访问。可以</w:t>
                                  </w:r>
                                  <w:r>
                                    <w:t>在没有密码的情况下读取数据。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1，0475，520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个读数;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可配置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存储器</w:t>
                                  </w:r>
                                  <w:r>
                                    <w:t>在多次启动/停止时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回绕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sz w:val="16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工程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有关</w:t>
                                  </w:r>
                                  <w:r>
                                    <w:t>如何对风速工程单位进行编程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的说明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，请参阅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Wind101A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产品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指南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single" w:sz="2" w:space="0" w:color="A7A9AC"/>
                                    <w:left w:val="single" w:sz="2" w:space="0" w:color="A7A9AC"/>
                                    <w:bottom w:val="single" w:sz="2" w:space="0" w:color="A7A9AC"/>
                                    <w:right w:val="single" w:sz="2" w:space="0" w:color="A7A9AC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pacing w:val="-1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pacing w:val="-1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-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5C81AE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4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118648</wp:posOffset>
                </wp:positionV>
                <wp:extent cx="3351529" cy="1271270"/>
                <wp:effectExtent l="0" t="0" r="0" b="0"/>
                <wp:wrapTopAndBottom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351529" cy="127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C81AE"/>
                                </w:tcPr>
                                <w:p>
                                  <w:pPr>
                                    <w:pStyle w:val="P68B1DB1-TableParagraph19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测量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测量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0至100 mph（0至45 m/s）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0.085 mph（10秒读数间隔）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±2.0 mph（0至10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mph）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从&gt;10到100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mph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，读数的±2.5%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起步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门槛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</w:rPr>
                                    <w:t>每小时</w:t>
                                  </w:r>
                                  <w:r>
                                    <w:rPr>
                                      <w:w w:val="90"/>
                                    </w:rPr>
                                    <w:t>1.75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输入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连接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4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6位可拆卸螺丝端子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120236</wp:posOffset>
                </wp:positionV>
                <wp:extent cx="3351529" cy="4062095"/>
                <wp:effectExtent l="0" t="0" r="0" b="0"/>
                <wp:wrapTopAndBottom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351529" cy="406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每秒1次读数，最多每24小时1次读数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包含3.6V锂电池;用户可更换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t>取决于频率和占空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比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在25 °C和10秒读取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t>下，典型值为10个月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3"/>
                                    <w:spacing w:before="15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15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ºF）</w:t>
                                  </w:r>
                                  <w:r>
                                    <w:t>（独立模式）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44" w:lineRule="auto"/>
                                    <w:ind w:right="6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2.03.06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安全软件版本4.1.3.0或更新版本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风速计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工作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55 °C至+60 °C（-67 °F至+150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0% RH至100%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数据记录器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°C至+60 °C（-4 °F至+140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0% RH至100%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sz w:val="16"/>
                                    </w:rPr>
                                  </w:pPr>
                                  <w:r>
                                    <w:t>IP65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ind w:right="2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外壳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2.9英寸x 5.8英寸x 1.5英寸（74 mm x 148 mm x 39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3"/>
                                    <w:spacing w:line="244" w:lineRule="auto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风速计尺寸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2.1英寸高x 7.53英寸直径</w:t>
                                  </w:r>
                                </w:p>
                                <w:p>
                                  <w:pPr>
                                    <w:pStyle w:val="P68B1DB1-TableParagraph14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(54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mm高x 192 mm直径）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（不包括安装柱）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sz w:val="16"/>
                                    </w:rPr>
                                  </w:pPr>
                                  <w:r>
                                    <w:t>聚碳酸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18.1盎司（513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44" w:lineRule="auto" w:before="101"/>
        <w:ind w:left="6242" w:right="410" w:firstLine="0"/>
        <w:jc w:val="left"/>
        <w:rPr>
          <w:sz w:val="16"/>
        </w:rPr>
        <w:pStyle w:val="P68B1DB1-Normal24"/>
      </w:pPr>
      <w:r>
        <w:rPr>
          <w:color w:val="E12726"/>
        </w:rPr>
        <w:t>电池损坏：</w:t>
      </w:r>
      <w:r>
        <w:rPr>
          <w:color w:val="231F20"/>
        </w:rPr>
        <w:t>火灾、爆炸和严重烧伤危险。请勿</w:t>
      </w:r>
      <w:r>
        <w:rPr>
          <w:color w:val="231F20"/>
          <w:spacing w:val="-2"/>
        </w:rPr>
        <w:t xml:space="preserve">再充电、分解、加热至100 °C（212 °F）以上、焚烧、压碎或</w:t>
      </w:r>
      <w:r>
        <w:rPr>
          <w:color w:val="231F20"/>
        </w:rPr>
        <w:t>将内容物暴露于水中。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6"/>
        <w:rPr>
          <w:sz w:val="26"/>
        </w:rPr>
      </w:pPr>
    </w:p>
    <w:p>
      <w:pPr>
        <w:pStyle w:val="P68B1DB1-Heading125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3"/>
              <w:spacing w:before="151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>Wind101A</w:t>
            </w:r>
            <w:r>
              <w:rPr>
                <w:spacing w:val="-2"/>
              </w:rPr>
              <w:t>（25</w:t>
            </w:r>
            <w:r>
              <w:rPr>
                <w:spacing w:val="-5"/>
              </w:rPr>
              <w:t>英尺）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901870-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line="244" w:lineRule="auto"/>
              <w:ind w:left="80"/>
              <w:rPr>
                <w:sz w:val="16"/>
              </w:rPr>
            </w:pPr>
            <w:r>
              <w:rPr>
                <w:spacing w:val="-4"/>
              </w:rPr>
              <w:t>风速数据记录器。包括带传感器连接电缆（25英尺）的3杯风速计、</w:t>
            </w:r>
            <w:r>
              <w:t>防风雨</w:t>
            </w:r>
            <w:r>
              <w:t>外壳</w:t>
            </w:r>
            <w:r>
              <w:t>和</w:t>
            </w:r>
            <w:r>
              <w:t xml:space="preserve">IFC 200</w:t>
            </w:r>
            <w:r>
              <w:t>（USB）</w:t>
            </w:r>
            <w:r>
              <w:t>接口</w:t>
            </w:r>
            <w:r>
              <w:t>电缆。</w:t>
            </w:r>
          </w:p>
        </w:tc>
      </w:tr>
      <w:tr>
        <w:trPr>
          <w:trHeight w:val="4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3"/>
              <w:spacing w:before="151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>Wind101A</w:t>
            </w:r>
            <w:r>
              <w:rPr>
                <w:spacing w:val="-2"/>
              </w:rPr>
              <w:t>（50</w:t>
            </w:r>
            <w:r>
              <w:rPr>
                <w:spacing w:val="-5"/>
              </w:rPr>
              <w:t>英尺）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901877-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line="244" w:lineRule="auto"/>
              <w:ind w:left="80"/>
              <w:rPr>
                <w:sz w:val="16"/>
              </w:rPr>
            </w:pPr>
            <w:r>
              <w:rPr>
                <w:spacing w:val="-4"/>
              </w:rPr>
              <w:t>风速数据记录器。包括带传感器连接电缆（50英尺）的3杯风速计、</w:t>
            </w:r>
            <w:r>
              <w:t>防风雨</w:t>
            </w:r>
            <w:r>
              <w:t>外壳</w:t>
            </w:r>
            <w:r>
              <w:t>和</w:t>
            </w:r>
            <w:r>
              <w:t xml:space="preserve">IFC 200</w:t>
            </w:r>
            <w:r>
              <w:t>（USB）</w:t>
            </w:r>
            <w:r>
              <w:t>接口</w:t>
            </w:r>
            <w:r>
              <w:t>电缆。</w:t>
            </w:r>
          </w:p>
        </w:tc>
      </w:tr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13"/>
              <w:spacing w:before="151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>Wind101A（100</w:t>
            </w:r>
            <w:r>
              <w:rPr>
                <w:spacing w:val="-5"/>
              </w:rPr>
              <w:t>英尺）</w:t>
            </w:r>
          </w:p>
        </w:tc>
        <w:tc>
          <w:tcPr>
            <w:tcW w:w="2048" w:type="dxa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901872-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spacing w:line="244" w:lineRule="auto"/>
              <w:ind w:left="80"/>
              <w:rPr>
                <w:sz w:val="16"/>
              </w:rPr>
            </w:pPr>
            <w:r>
              <w:rPr>
                <w:spacing w:val="-4"/>
              </w:rPr>
              <w:t>风速数据记录器。包括带传感器连接电缆（100英尺）的3杯风速计、</w:t>
            </w:r>
            <w:r>
              <w:t>防风雨</w:t>
            </w:r>
            <w:r>
              <w:t>外壳</w:t>
            </w:r>
            <w:r>
              <w:t>和</w:t>
            </w:r>
            <w:r>
              <w:t xml:space="preserve">IFC 200</w:t>
            </w:r>
            <w:r>
              <w:t>（USB）</w:t>
            </w:r>
            <w:r>
              <w:t>接口</w:t>
            </w:r>
            <w:r>
              <w:t>电缆。</w:t>
            </w:r>
          </w:p>
        </w:tc>
      </w:tr>
      <w:tr>
        <w:trPr>
          <w:trHeight w:val="4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3"/>
              <w:spacing w:before="151"/>
              <w:ind w:left="80"/>
              <w:rPr>
                <w:b/>
                <w:sz w:val="16"/>
              </w:rPr>
            </w:pPr>
            <w:r>
              <w:rPr>
                <w:spacing w:val="-2"/>
              </w:rPr>
              <w:t>Wind101A（150</w:t>
            </w:r>
            <w:r>
              <w:rPr>
                <w:spacing w:val="-5"/>
              </w:rPr>
              <w:t>英尺）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4"/>
              <w:spacing w:before="151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901874-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4"/>
              <w:spacing w:line="244" w:lineRule="auto"/>
              <w:ind w:left="80"/>
              <w:rPr>
                <w:sz w:val="16"/>
              </w:rPr>
            </w:pPr>
            <w:r>
              <w:rPr>
                <w:spacing w:val="-4"/>
              </w:rPr>
              <w:t>风速数据记录器。包括带传感器连接电缆（150英尺）的3杯风速计、</w:t>
            </w:r>
            <w:r>
              <w:t>防风雨</w:t>
            </w:r>
            <w:r>
              <w:t>外壳</w:t>
            </w:r>
            <w:r>
              <w:t>和</w:t>
            </w:r>
            <w:r>
              <w:t xml:space="preserve">IFC 200</w:t>
            </w:r>
            <w:r>
              <w:t>（USB）</w:t>
            </w:r>
            <w:r>
              <w:t>接口</w:t>
            </w:r>
            <w:r>
              <w:t>电缆。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26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900352-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4"/>
              <w:ind w:left="80"/>
              <w:rPr>
                <w:sz w:val="16"/>
              </w:rPr>
            </w:pPr>
            <w:r>
              <w:rPr>
                <w:spacing w:val="-2"/>
              </w:rPr>
              <w:t>用于Wind101A的替换电池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272"/>
        <w:rPr>
          <w:sz w:val="26"/>
        </w:rPr>
      </w:pPr>
    </w:p>
    <w:p>
      <w:pPr>
        <w:pStyle w:val="P68B1DB1-ListParagraph27"/>
        <w:numPr>
          <w:ilvl w:val="0"/>
          <w:numId w:val="2"/>
        </w:numPr>
        <w:tabs>
          <w:tab w:pos="706" w:val="left" w:leader="none"/>
        </w:tabs>
        <w:spacing w:line="240" w:lineRule="auto" w:before="0" w:after="0"/>
        <w:ind w:left="706" w:right="0" w:hanging="144"/>
        <w:jc w:val="left"/>
        <w:rPr>
          <w:rFonts w:ascii="Arial" w:hAnsi="Arial"/>
          <w:sz w:val="24"/>
        </w:rPr>
      </w:pPr>
      <w:r>
        <w:t xml:space="preserve">电话：+86 755-8420 0058 ■传真：+86 755-2822 5583 ■</w:t>
      </w:r>
      <w:hyperlink r:id="rId17">
        <w:r>
          <w:t>E-mail:sales@eofirm.com</w:t>
        </w:r>
      </w:hyperlink>
      <w:r>
        <w:rPr>
          <w:spacing w:val="-2"/>
        </w:rPr>
        <w:t>■</w:t>
      </w:r>
      <w:hyperlink r:id="rId18">
        <w:r>
          <w:rPr>
            <w:spacing w:val="-2"/>
          </w:rPr>
          <w:t>http://www.eofirm.com</w:t>
        </w:r>
      </w:hyperlink>
    </w:p>
    <w:sectPr>
      <w:pgSz w:w="12240" w:h="15840"/>
      <w:pgMar w:top="2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708" w:hanging="14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8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62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24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78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32" w:hanging="1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9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0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1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14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607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528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BodyText3">
    <w:name w:val="P68B1DB1-BodyText3"/>
    <w:basedOn w:val="BodyText"/>
    <w:rPr>
      <w:color w:val="414042"/>
    </w:rPr>
  </w:style>
  <w:style w:type="paragraph" w:styleId="P68B1DB1-Normal4">
    <w:name w:val="P68B1DB1-Normal4"/>
    <w:basedOn w:val="Normal"/>
    <w:rPr>
      <w:rFonts w:ascii="Tahoma"/>
      <w:color w:val="002A5C"/>
      <w:sz w:val="28"/>
    </w:rPr>
  </w:style>
  <w:style w:type="paragraph" w:styleId="P68B1DB1-Normal5">
    <w:name w:val="P68B1DB1-Normal5"/>
    <w:basedOn w:val="Normal"/>
    <w:rPr>
      <w:b/>
      <w:color w:val="FFFFFF"/>
      <w:spacing w:val="-10"/>
      <w:sz w:val="21"/>
    </w:rPr>
  </w:style>
  <w:style w:type="paragraph" w:styleId="P68B1DB1-Heading16">
    <w:name w:val="P68B1DB1-Heading16"/>
    <w:basedOn w:val="Heading1"/>
    <w:rPr>
      <w:color w:val="002A5C"/>
      <w:spacing w:val="-2"/>
      <w:w w:val="105"/>
    </w:rPr>
  </w:style>
  <w:style w:type="paragraph" w:styleId="P68B1DB1-ListParagraph7">
    <w:name w:val="P68B1DB1-ListParagraph7"/>
    <w:basedOn w:val="ListParagraph"/>
    <w:rPr>
      <w:color w:val="414042"/>
      <w:spacing w:val="-2"/>
      <w:sz w:val="20"/>
    </w:rPr>
  </w:style>
  <w:style w:type="paragraph" w:styleId="P68B1DB1-Normal8">
    <w:name w:val="P68B1DB1-Normal8"/>
    <w:basedOn w:val="Normal"/>
    <w:rPr>
      <w:rFonts w:ascii="Tahoma"/>
      <w:color w:val="FFFFFF"/>
      <w:spacing w:val="-2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spacing w:val="-2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pacing w:val="-2"/>
      <w:sz w:val="36"/>
    </w:rPr>
  </w:style>
  <w:style w:type="paragraph" w:styleId="P68B1DB1-TableParagraph12">
    <w:name w:val="P68B1DB1-TableParagraph12"/>
    <w:basedOn w:val="TableParagraph"/>
    <w:rPr>
      <w:b/>
      <w:color w:val="FFFFFF"/>
      <w:spacing w:val="-2"/>
      <w:w w:val="105"/>
      <w:sz w:val="20"/>
    </w:rPr>
  </w:style>
  <w:style w:type="paragraph" w:styleId="P68B1DB1-TableParagraph13">
    <w:name w:val="P68B1DB1-TableParagraph13"/>
    <w:basedOn w:val="TableParagraph"/>
    <w:rPr>
      <w:b/>
      <w:color w:val="231F20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6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sz w:val="16"/>
    </w:rPr>
  </w:style>
  <w:style w:type="paragraph" w:styleId="P68B1DB1-TableParagraph17">
    <w:name w:val="P68B1DB1-TableParagraph17"/>
    <w:basedOn w:val="TableParagraph"/>
    <w:rPr>
      <w:color w:val="231F20"/>
      <w:spacing w:val="-5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4"/>
      <w:w w:val="110"/>
      <w:sz w:val="16"/>
    </w:rPr>
  </w:style>
  <w:style w:type="paragraph" w:styleId="P68B1DB1-TableParagraph19">
    <w:name w:val="P68B1DB1-TableParagraph19"/>
    <w:basedOn w:val="TableParagraph"/>
    <w:rPr>
      <w:b/>
      <w:color w:val="FFFFFF"/>
      <w:spacing w:val="-2"/>
      <w:sz w:val="20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6"/>
    </w:rPr>
  </w:style>
  <w:style w:type="paragraph" w:styleId="P68B1DB1-TableParagraph21">
    <w:name w:val="P68B1DB1-TableParagraph21"/>
    <w:basedOn w:val="TableParagraph"/>
    <w:rPr>
      <w:color w:val="231F20"/>
      <w:spacing w:val="-4"/>
      <w:sz w:val="16"/>
    </w:rPr>
  </w:style>
  <w:style w:type="paragraph" w:styleId="P68B1DB1-TableParagraph22">
    <w:name w:val="P68B1DB1-TableParagraph22"/>
    <w:basedOn w:val="TableParagraph"/>
    <w:rPr>
      <w:color w:val="231F20"/>
      <w:spacing w:val="-2"/>
      <w:sz w:val="16"/>
    </w:rPr>
  </w:style>
  <w:style w:type="paragraph" w:styleId="P68B1DB1-TableParagraph23">
    <w:name w:val="P68B1DB1-TableParagraph23"/>
    <w:basedOn w:val="TableParagraph"/>
    <w:rPr>
      <w:color w:val="231F20"/>
      <w:spacing w:val="-5"/>
      <w:w w:val="105"/>
      <w:sz w:val="16"/>
    </w:rPr>
  </w:style>
  <w:style w:type="paragraph" w:styleId="P68B1DB1-Normal24">
    <w:name w:val="P68B1DB1-Normal24"/>
    <w:basedOn w:val="Normal"/>
    <w:rPr>
      <w:sz w:val="16"/>
    </w:rPr>
  </w:style>
  <w:style w:type="paragraph" w:styleId="P68B1DB1-Heading125">
    <w:name w:val="P68B1DB1-Heading125"/>
    <w:basedOn w:val="Heading1"/>
    <w:rPr>
      <w:color w:val="002A5C"/>
    </w:rPr>
  </w:style>
  <w:style w:type="paragraph" w:styleId="P68B1DB1-TableParagraph26">
    <w:name w:val="P68B1DB1-TableParagraph26"/>
    <w:basedOn w:val="TableParagraph"/>
    <w:rPr>
      <w:b/>
      <w:color w:val="231F20"/>
      <w:spacing w:val="-5"/>
      <w:w w:val="105"/>
      <w:sz w:val="16"/>
    </w:rPr>
  </w:style>
  <w:style w:type="paragraph" w:styleId="P68B1DB1-ListParagraph27">
    <w:name w:val="P68B1DB1-ListParagraph27"/>
    <w:basedOn w:val="ListParagraph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2024-11-18T06:02:34Z</dcterms:created>
  <dcterms:modified xsi:type="dcterms:W3CDTF">2024-11-18T06:02:34Z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15.0</vt:lpwstr>
  </property>
</Properties>
</file>